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R4-210083</w:t>
      </w:r>
      <w:r>
        <w:rPr>
          <w:rFonts w:hint="eastAsia" w:ascii="Arial" w:hAnsi="Arial" w:eastAsia="宋体" w:cs="Times New Roman"/>
          <w:b/>
          <w:bCs/>
          <w:sz w:val="24"/>
          <w:szCs w:val="24"/>
          <w:lang w:val="en-US" w:eastAsia="zh-CN"/>
        </w:rPr>
        <w:t>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Configurations for NR-U RRM test cases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7.1.6.2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the first meeting to discuss performance part of NR-U, companies has some preliminary discussions on the scope of test cases, test configurations and the work plan. Companies had different views on the configurations of test cases while some consensus was captured in the WF [1] as shown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120"/>
              <w:rPr>
                <w:b/>
                <w:highlight w:val="none"/>
                <w:u w:val="single"/>
                <w:lang w:eastAsia="ko-KR"/>
              </w:rPr>
            </w:pPr>
            <w:r>
              <w:rPr>
                <w:b/>
                <w:highlight w:val="none"/>
                <w:u w:val="single"/>
                <w:lang w:eastAsia="ko-KR"/>
              </w:rPr>
              <w:t xml:space="preserve">Issue 2-2-5: Exceeding Lmax values during RRM tests </w:t>
            </w:r>
          </w:p>
          <w:p>
            <w:pPr>
              <w:rPr>
                <w:color w:val="C55A11" w:themeColor="accent2" w:themeShade="BF"/>
                <w:highlight w:val="none"/>
                <w:lang w:val="en-US" w:eastAsia="zh-CN"/>
              </w:rPr>
            </w:pPr>
            <w:r>
              <w:rPr>
                <w:color w:val="C55A11" w:themeColor="accent2" w:themeShade="BF"/>
                <w:highlight w:val="none"/>
                <w:lang w:val="en-US" w:eastAsia="zh-CN"/>
              </w:rPr>
              <w:t>Candidate options discussed in RAN4 97e:</w:t>
            </w:r>
          </w:p>
          <w:p>
            <w:pPr>
              <w:ind w:left="284"/>
              <w:rPr>
                <w:color w:val="C55A11" w:themeColor="accent2" w:themeShade="BF"/>
                <w:highlight w:val="none"/>
                <w:lang w:val="en-US" w:eastAsia="zh-CN"/>
              </w:rPr>
            </w:pPr>
            <w:r>
              <w:rPr>
                <w:color w:val="C55A11" w:themeColor="accent2" w:themeShade="BF"/>
                <w:highlight w:val="none"/>
                <w:lang w:val="en-US" w:eastAsia="zh-CN"/>
              </w:rPr>
              <w:t xml:space="preserve">Option 1: </w:t>
            </w:r>
            <w:r>
              <w:rPr>
                <w:color w:val="C55A11" w:themeColor="accent2" w:themeShade="BF"/>
                <w:highlight w:val="none"/>
                <w:lang w:eastAsia="zh-CN"/>
              </w:rPr>
              <w:t>For RRM test cases for NR-U, exceeding Lmax should be avoided</w:t>
            </w:r>
          </w:p>
          <w:p>
            <w:pPr>
              <w:ind w:left="284"/>
              <w:rPr>
                <w:color w:val="C55A11" w:themeColor="accent2" w:themeShade="BF"/>
                <w:highlight w:val="none"/>
                <w:lang w:val="en-US" w:eastAsia="zh-CN"/>
              </w:rPr>
            </w:pPr>
            <w:r>
              <w:rPr>
                <w:color w:val="C55A11" w:themeColor="accent2" w:themeShade="BF"/>
                <w:highlight w:val="none"/>
                <w:lang w:val="en-US" w:eastAsia="zh-CN"/>
              </w:rPr>
              <w:t>Option 2: Companies are encouraged to bring a list of requirements that would trigger different behaviours depending on whether the Lmax is exceeded or not. Discuss for each of those requirements:</w:t>
            </w:r>
          </w:p>
          <w:p>
            <w:pPr>
              <w:ind w:left="284"/>
              <w:rPr>
                <w:color w:val="C55A11" w:themeColor="accent2" w:themeShade="BF"/>
                <w:highlight w:val="none"/>
                <w:lang w:val="en-US" w:eastAsia="zh-CN"/>
              </w:rPr>
            </w:pPr>
            <w:r>
              <w:rPr>
                <w:color w:val="C55A11" w:themeColor="accent2" w:themeShade="BF"/>
                <w:highlight w:val="none"/>
                <w:lang w:val="en-US" w:eastAsia="zh-CN"/>
              </w:rPr>
              <w:t>•</w:t>
            </w:r>
            <w:r>
              <w:rPr>
                <w:color w:val="C55A11" w:themeColor="accent2" w:themeShade="BF"/>
                <w:highlight w:val="none"/>
                <w:lang w:val="en-US" w:eastAsia="zh-CN"/>
              </w:rPr>
              <w:tab/>
            </w:r>
            <w:r>
              <w:rPr>
                <w:color w:val="C55A11" w:themeColor="accent2" w:themeShade="BF"/>
                <w:highlight w:val="none"/>
                <w:lang w:val="en-US" w:eastAsia="zh-CN"/>
              </w:rPr>
              <w:t>whether they can be tested without exceeding Lmax.</w:t>
            </w:r>
          </w:p>
          <w:p>
            <w:pPr>
              <w:ind w:left="284"/>
              <w:rPr>
                <w:color w:val="C55A11" w:themeColor="accent2" w:themeShade="BF"/>
                <w:highlight w:val="none"/>
                <w:lang w:val="en-US" w:eastAsia="zh-CN"/>
              </w:rPr>
            </w:pPr>
            <w:r>
              <w:rPr>
                <w:color w:val="C55A11" w:themeColor="accent2" w:themeShade="BF"/>
                <w:highlight w:val="none"/>
                <w:lang w:val="en-US" w:eastAsia="zh-CN"/>
              </w:rPr>
              <w:t>•</w:t>
            </w:r>
            <w:r>
              <w:rPr>
                <w:color w:val="C55A11" w:themeColor="accent2" w:themeShade="BF"/>
                <w:highlight w:val="none"/>
                <w:lang w:val="en-US" w:eastAsia="zh-CN"/>
              </w:rPr>
              <w:tab/>
            </w:r>
            <w:r>
              <w:rPr>
                <w:color w:val="C55A11" w:themeColor="accent2" w:themeShade="BF"/>
                <w:highlight w:val="none"/>
                <w:lang w:val="en-US" w:eastAsia="zh-CN"/>
              </w:rPr>
              <w:t xml:space="preserve">How to design the test case to capture the different behaviors if needed. </w:t>
            </w:r>
          </w:p>
          <w:p>
            <w:pPr>
              <w:spacing w:after="120"/>
              <w:rPr>
                <w:b/>
                <w:highlight w:val="none"/>
                <w:u w:val="single"/>
                <w:lang w:val="en-US" w:eastAsia="ko-KR"/>
              </w:rPr>
            </w:pPr>
          </w:p>
          <w:p>
            <w:pPr>
              <w:spacing w:after="60"/>
              <w:ind w:left="852" w:hanging="852"/>
              <w:rPr>
                <w:b/>
                <w:highlight w:val="none"/>
                <w:u w:val="single"/>
                <w:lang w:eastAsia="ko-KR"/>
              </w:rPr>
            </w:pPr>
            <w:r>
              <w:rPr>
                <w:b/>
                <w:highlight w:val="none"/>
                <w:u w:val="single"/>
                <w:lang w:eastAsia="ko-KR"/>
              </w:rPr>
              <w:t>Issue 2-2-6: Consecutive DL LBT failures during cell-reselection test cases</w:t>
            </w:r>
          </w:p>
          <w:p>
            <w:pPr>
              <w:spacing w:after="60"/>
              <w:ind w:left="852" w:hanging="852"/>
              <w:rPr>
                <w:bCs/>
                <w:color w:val="C55A11" w:themeColor="accent2" w:themeShade="BF"/>
                <w:highlight w:val="none"/>
                <w:lang w:eastAsia="ko-KR"/>
              </w:rPr>
            </w:pPr>
            <w:r>
              <w:rPr>
                <w:bCs/>
                <w:color w:val="C55A11" w:themeColor="accent2" w:themeShade="BF"/>
                <w:highlight w:val="none"/>
                <w:lang w:eastAsia="ko-KR"/>
              </w:rPr>
              <w:t>Options discussed in RAN4 97e:</w:t>
            </w:r>
          </w:p>
          <w:p>
            <w:pPr>
              <w:pStyle w:val="28"/>
              <w:numPr>
                <w:ilvl w:val="0"/>
                <w:numId w:val="6"/>
              </w:numPr>
              <w:overflowPunct w:val="0"/>
              <w:autoSpaceDE w:val="0"/>
              <w:autoSpaceDN w:val="0"/>
              <w:adjustRightInd w:val="0"/>
              <w:contextualSpacing w:val="0"/>
              <w:textAlignment w:val="baseline"/>
              <w:rPr>
                <w:rFonts w:hint="eastAsia" w:eastAsia="宋体"/>
                <w:sz w:val="22"/>
                <w:szCs w:val="22"/>
                <w:vertAlign w:val="baseline"/>
                <w:lang w:val="en-US" w:eastAsia="zh-CN"/>
              </w:rPr>
            </w:pPr>
            <w:r>
              <w:rPr>
                <w:bCs/>
                <w:color w:val="C55A11" w:themeColor="accent2" w:themeShade="BF"/>
                <w:highlight w:val="none"/>
                <w:lang w:eastAsia="zh-CN"/>
              </w:rPr>
              <w:t xml:space="preserve">Option 1:  For the cell-reselection test cases, </w:t>
            </w:r>
            <w:r>
              <w:rPr>
                <w:rFonts w:eastAsia="Yu Mincho"/>
                <w:bCs/>
                <w:color w:val="C55A11" w:themeColor="accent2" w:themeShade="BF"/>
                <w:highlight w:val="none"/>
                <w:lang w:eastAsia="zh-CN"/>
              </w:rPr>
              <w:t>Mp</w:t>
            </w:r>
            <w:r>
              <w:rPr>
                <w:bCs/>
                <w:color w:val="C55A11" w:themeColor="accent2" w:themeShade="BF"/>
                <w:highlight w:val="none"/>
                <w:lang w:eastAsia="zh-CN"/>
              </w:rPr>
              <w:t xml:space="preserve"> consecutive DRX cycles with LBT failures of the serving cell should be avoided.</w:t>
            </w:r>
          </w:p>
          <w:p>
            <w:pPr>
              <w:pStyle w:val="28"/>
              <w:numPr>
                <w:ilvl w:val="0"/>
                <w:numId w:val="6"/>
              </w:numPr>
              <w:overflowPunct w:val="0"/>
              <w:autoSpaceDE w:val="0"/>
              <w:autoSpaceDN w:val="0"/>
              <w:adjustRightInd w:val="0"/>
              <w:contextualSpacing w:val="0"/>
              <w:textAlignment w:val="baseline"/>
              <w:rPr>
                <w:rFonts w:hint="eastAsia" w:eastAsia="宋体"/>
                <w:sz w:val="22"/>
                <w:szCs w:val="22"/>
                <w:vertAlign w:val="baseline"/>
                <w:lang w:val="en-US" w:eastAsia="zh-CN"/>
              </w:rPr>
            </w:pPr>
            <w:r>
              <w:rPr>
                <w:rFonts w:eastAsia="Yu Mincho"/>
                <w:bCs/>
                <w:color w:val="C55A11" w:themeColor="accent2" w:themeShade="BF"/>
                <w:highlight w:val="none"/>
                <w:lang w:eastAsia="zh-CN"/>
              </w:rPr>
              <w:t xml:space="preserve">Option 2:  For the cell-reselection test cases, Mp consecutive DRX </w:t>
            </w:r>
            <w:r>
              <w:rPr>
                <w:bCs/>
                <w:color w:val="C55A11" w:themeColor="accent2" w:themeShade="BF"/>
                <w:highlight w:val="none"/>
                <w:lang w:eastAsia="zh-CN"/>
              </w:rPr>
              <w:t>cycles</w:t>
            </w:r>
            <w:r>
              <w:rPr>
                <w:rFonts w:eastAsia="Yu Mincho"/>
                <w:bCs/>
                <w:color w:val="C55A11" w:themeColor="accent2" w:themeShade="BF"/>
                <w:highlight w:val="none"/>
                <w:lang w:eastAsia="zh-CN"/>
              </w:rPr>
              <w:t xml:space="preserve"> with LBT failures of the serving cell should be also tested.</w:t>
            </w:r>
          </w:p>
          <w:p>
            <w:pPr>
              <w:pStyle w:val="28"/>
              <w:numPr>
                <w:numId w:val="0"/>
              </w:numPr>
              <w:overflowPunct w:val="0"/>
              <w:autoSpaceDE w:val="0"/>
              <w:autoSpaceDN w:val="0"/>
              <w:adjustRightInd w:val="0"/>
              <w:spacing w:after="160" w:line="259" w:lineRule="auto"/>
              <w:contextualSpacing w:val="0"/>
              <w:textAlignment w:val="baseline"/>
              <w:rPr>
                <w:rFonts w:eastAsia="Yu Mincho"/>
                <w:bCs/>
                <w:color w:val="C55A11" w:themeColor="accent2" w:themeShade="BF"/>
                <w:highlight w:val="none"/>
                <w:lang w:eastAsia="zh-CN"/>
              </w:rPr>
            </w:pPr>
          </w:p>
          <w:p>
            <w:pPr>
              <w:spacing w:after="120"/>
              <w:rPr>
                <w:b/>
                <w:highlight w:val="none"/>
                <w:u w:val="single"/>
                <w:lang w:eastAsia="ko-KR"/>
              </w:rPr>
            </w:pPr>
            <w:r>
              <w:rPr>
                <w:b/>
                <w:highlight w:val="none"/>
                <w:u w:val="single"/>
                <w:lang w:eastAsia="ko-KR"/>
              </w:rPr>
              <w:t>Issue 3-2-4: Applicability rules</w:t>
            </w:r>
          </w:p>
          <w:p>
            <w:pPr>
              <w:numPr>
                <w:ilvl w:val="1"/>
                <w:numId w:val="6"/>
              </w:numPr>
              <w:spacing w:after="120" w:line="259" w:lineRule="auto"/>
              <w:rPr>
                <w:color w:val="00B050"/>
                <w:highlight w:val="none"/>
                <w:lang w:eastAsia="zh-CN"/>
              </w:rPr>
            </w:pPr>
            <w:r>
              <w:rPr>
                <w:color w:val="00B050"/>
                <w:highlight w:val="none"/>
                <w:lang w:eastAsia="zh-CN"/>
              </w:rPr>
              <w:t>RAN4 will discuss applicability rules when test cases have sufficiently progressed, e.g.:</w:t>
            </w:r>
          </w:p>
          <w:p>
            <w:pPr>
              <w:numPr>
                <w:ilvl w:val="2"/>
                <w:numId w:val="6"/>
              </w:numPr>
              <w:spacing w:after="120" w:line="259" w:lineRule="auto"/>
              <w:rPr>
                <w:rFonts w:hint="eastAsia" w:eastAsia="Yu Mincho"/>
                <w:bCs/>
                <w:color w:val="C55A11" w:themeColor="accent2" w:themeShade="BF"/>
                <w:highlight w:val="none"/>
                <w:lang w:val="en-US" w:eastAsia="zh-CN"/>
              </w:rPr>
            </w:pPr>
            <w:r>
              <w:rPr>
                <w:color w:val="00B050"/>
                <w:highlight w:val="none"/>
                <w:lang w:eastAsia="zh-CN"/>
              </w:rPr>
              <w:t>FFS: for a UE capable of multiple scenarios, the UE shall pass the test to verify the same requirements on the same type of cell (e.g. UE timing accuracy) in only one scenario.</w:t>
            </w:r>
          </w:p>
          <w:p>
            <w:pPr>
              <w:numPr>
                <w:ilvl w:val="2"/>
                <w:numId w:val="6"/>
              </w:numPr>
              <w:spacing w:after="120" w:line="259" w:lineRule="auto"/>
              <w:rPr>
                <w:rFonts w:hint="eastAsia" w:eastAsia="Yu Mincho"/>
                <w:bCs/>
                <w:color w:val="C55A11" w:themeColor="accent2" w:themeShade="BF"/>
                <w:highlight w:val="none"/>
                <w:lang w:val="en-US" w:eastAsia="zh-CN"/>
              </w:rPr>
            </w:pPr>
            <w:r>
              <w:rPr>
                <w:color w:val="C55A11" w:themeColor="accent2" w:themeShade="BF"/>
                <w:highlight w:val="none"/>
                <w:lang w:eastAsia="zh-CN"/>
              </w:rPr>
              <w:t>FFS: for UEs supporting both LBE and FBE.</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provides our view on these topics one by one.</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b/>
          <w:highlight w:val="none"/>
          <w:u w:val="single"/>
          <w:lang w:eastAsia="ko-KR"/>
        </w:rPr>
        <w:t>Issue 2-2-5: Exceeding Lmax values during RRM tests</w:t>
      </w:r>
    </w:p>
    <w:p>
      <w:pPr>
        <w:rPr>
          <w:rFonts w:hint="default" w:eastAsia="宋体"/>
          <w:sz w:val="22"/>
          <w:szCs w:val="22"/>
          <w:lang w:val="en-US" w:eastAsia="zh-CN"/>
        </w:rPr>
      </w:pPr>
      <w:r>
        <w:rPr>
          <w:rFonts w:hint="eastAsia" w:eastAsia="宋体"/>
          <w:sz w:val="22"/>
          <w:szCs w:val="22"/>
          <w:lang w:val="en-US" w:eastAsia="zh-CN"/>
        </w:rPr>
        <w:t>LBT failures exceeding L</w:t>
      </w:r>
      <w:r>
        <w:rPr>
          <w:rFonts w:hint="eastAsia" w:eastAsia="宋体"/>
          <w:sz w:val="22"/>
          <w:szCs w:val="22"/>
          <w:vertAlign w:val="subscript"/>
          <w:lang w:val="en-US" w:eastAsia="zh-CN"/>
        </w:rPr>
        <w:t>max</w:t>
      </w:r>
      <w:r>
        <w:rPr>
          <w:rFonts w:hint="eastAsia" w:eastAsia="宋体"/>
          <w:sz w:val="22"/>
          <w:szCs w:val="22"/>
          <w:lang w:val="en-US" w:eastAsia="zh-CN"/>
        </w:rPr>
        <w:t xml:space="preserve"> shall be tested when there is new UE behavior defined for such scenarios. This is straightforward or else there</w:t>
      </w:r>
      <w:r>
        <w:rPr>
          <w:rFonts w:hint="default" w:eastAsia="宋体"/>
          <w:sz w:val="22"/>
          <w:szCs w:val="22"/>
          <w:lang w:val="en-US" w:eastAsia="zh-CN"/>
        </w:rPr>
        <w:t>’</w:t>
      </w:r>
      <w:r>
        <w:rPr>
          <w:rFonts w:hint="eastAsia" w:eastAsia="宋体"/>
          <w:sz w:val="22"/>
          <w:szCs w:val="22"/>
          <w:lang w:val="en-US" w:eastAsia="zh-CN"/>
        </w:rPr>
        <w:t>s no way to guarantee the new UE behaviors introduced in the core requirements.</w:t>
      </w:r>
    </w:p>
    <w:p>
      <w:pPr>
        <w:pStyle w:val="38"/>
        <w:rPr>
          <w:rFonts w:hint="default"/>
          <w:lang w:val="en-US" w:eastAsia="zh-CN"/>
        </w:rPr>
      </w:pPr>
      <w:r>
        <w:rPr>
          <w:rFonts w:hint="eastAsia" w:eastAsia="宋体"/>
          <w:sz w:val="22"/>
          <w:szCs w:val="22"/>
          <w:lang w:val="en-US" w:eastAsia="zh-CN"/>
        </w:rPr>
        <w:t>LBT failures exceeding L</w:t>
      </w:r>
      <w:r>
        <w:rPr>
          <w:rFonts w:hint="eastAsia" w:eastAsia="宋体"/>
          <w:sz w:val="22"/>
          <w:szCs w:val="22"/>
          <w:vertAlign w:val="subscript"/>
          <w:lang w:val="en-US" w:eastAsia="zh-CN"/>
        </w:rPr>
        <w:t>max</w:t>
      </w:r>
      <w:r>
        <w:rPr>
          <w:rFonts w:hint="eastAsia" w:eastAsia="宋体"/>
          <w:sz w:val="22"/>
          <w:szCs w:val="22"/>
          <w:lang w:val="en-US" w:eastAsia="zh-CN"/>
        </w:rPr>
        <w:t xml:space="preserve"> shall be tested when there is new UE behavior defined for such scenarios.</w:t>
      </w:r>
    </w:p>
    <w:p>
      <w:pPr>
        <w:rPr>
          <w:rFonts w:hint="eastAsia" w:eastAsia="宋体"/>
          <w:sz w:val="22"/>
          <w:szCs w:val="22"/>
          <w:lang w:val="en-US" w:eastAsia="zh-CN"/>
        </w:rPr>
      </w:pPr>
    </w:p>
    <w:p>
      <w:pPr>
        <w:rPr>
          <w:rFonts w:hint="eastAsia" w:eastAsia="宋体"/>
          <w:sz w:val="22"/>
          <w:szCs w:val="22"/>
          <w:lang w:val="en-US" w:eastAsia="zh-CN"/>
        </w:rPr>
      </w:pPr>
      <w:r>
        <w:rPr>
          <w:b/>
          <w:highlight w:val="none"/>
          <w:u w:val="single"/>
          <w:lang w:eastAsia="ko-KR"/>
        </w:rPr>
        <w:t>Issue 2-2-6: Consecutive DL LBT failures during cell-reselection test cases</w:t>
      </w:r>
    </w:p>
    <w:p>
      <w:pPr>
        <w:rPr>
          <w:rFonts w:hint="default" w:eastAsia="宋体"/>
          <w:sz w:val="22"/>
          <w:szCs w:val="22"/>
          <w:lang w:val="en-US" w:eastAsia="zh-CN"/>
        </w:rPr>
      </w:pPr>
      <w:r>
        <w:rPr>
          <w:rFonts w:hint="eastAsia" w:eastAsia="宋体"/>
          <w:sz w:val="22"/>
          <w:szCs w:val="22"/>
          <w:lang w:val="en-US" w:eastAsia="zh-CN"/>
        </w:rPr>
        <w:t>For this issue, after the online and offline discussions with companies during the last meeting, we tend to support Option 2, which is for the cell-reselection test cases, Mp consecutive DRX cycles with LBT failures of the serving cell should be also tested. We don</w:t>
      </w:r>
      <w:r>
        <w:rPr>
          <w:rFonts w:hint="default" w:eastAsia="宋体"/>
          <w:sz w:val="22"/>
          <w:szCs w:val="22"/>
          <w:lang w:val="en-US" w:eastAsia="zh-CN"/>
        </w:rPr>
        <w:t>’</w:t>
      </w:r>
      <w:r>
        <w:rPr>
          <w:rFonts w:hint="eastAsia" w:eastAsia="宋体"/>
          <w:sz w:val="22"/>
          <w:szCs w:val="22"/>
          <w:lang w:val="en-US" w:eastAsia="zh-CN"/>
        </w:rPr>
        <w:t>t see it as an extra burden for the UE thus no strong motivation to omit this test.</w:t>
      </w:r>
    </w:p>
    <w:p>
      <w:pPr>
        <w:pStyle w:val="38"/>
        <w:rPr>
          <w:rFonts w:hint="default"/>
          <w:lang w:val="en-US" w:eastAsia="zh-CN"/>
        </w:rPr>
      </w:pPr>
      <w:r>
        <w:rPr>
          <w:rFonts w:hint="eastAsia" w:eastAsia="宋体"/>
          <w:sz w:val="22"/>
          <w:szCs w:val="22"/>
          <w:lang w:val="en-US" w:eastAsia="zh-CN"/>
        </w:rPr>
        <w:t>For the cell-reselection test cases, Mp consecutive DRX cycles with LBT failures of the serving cell should be also tested.</w:t>
      </w:r>
    </w:p>
    <w:p>
      <w:pPr>
        <w:spacing w:after="120"/>
        <w:rPr>
          <w:b/>
          <w:highlight w:val="none"/>
          <w:u w:val="single"/>
          <w:lang w:eastAsia="ko-KR"/>
        </w:rPr>
      </w:pPr>
    </w:p>
    <w:p>
      <w:pPr>
        <w:spacing w:after="120"/>
        <w:rPr>
          <w:b/>
          <w:highlight w:val="none"/>
          <w:u w:val="single"/>
          <w:lang w:eastAsia="ko-KR"/>
        </w:rPr>
      </w:pPr>
      <w:r>
        <w:rPr>
          <w:b/>
          <w:highlight w:val="none"/>
          <w:u w:val="single"/>
          <w:lang w:eastAsia="ko-KR"/>
        </w:rPr>
        <w:t>Issue 3-2-4: Applicability rules</w:t>
      </w:r>
    </w:p>
    <w:p>
      <w:pPr>
        <w:rPr>
          <w:rFonts w:hint="default" w:eastAsia="宋体"/>
          <w:sz w:val="22"/>
          <w:szCs w:val="22"/>
          <w:lang w:val="en-US" w:eastAsia="zh-CN"/>
        </w:rPr>
      </w:pPr>
      <w:r>
        <w:rPr>
          <w:rFonts w:hint="eastAsia" w:eastAsia="宋体"/>
          <w:sz w:val="22"/>
          <w:szCs w:val="22"/>
          <w:lang w:val="en-US" w:eastAsia="zh-CN"/>
        </w:rPr>
        <w:t xml:space="preserve">For UEs supporting both LBE and FBE, we think this is rather a corner case considering very different use cases for LBE based UEs and FBE based ones. Thus, we think that for most UEs supporting NR-U, only one mode will be supported. If a UE is claimed to support both modes, however, then the UE shall pass tests for both modes. </w:t>
      </w:r>
    </w:p>
    <w:p>
      <w:pPr>
        <w:pStyle w:val="38"/>
        <w:rPr>
          <w:rFonts w:hint="default" w:eastAsia="宋体"/>
          <w:sz w:val="22"/>
          <w:szCs w:val="22"/>
          <w:lang w:val="en-US" w:eastAsia="zh-CN"/>
        </w:rPr>
      </w:pPr>
      <w:r>
        <w:rPr>
          <w:rFonts w:hint="eastAsia" w:eastAsia="宋体"/>
          <w:sz w:val="22"/>
          <w:szCs w:val="22"/>
          <w:lang w:val="en-US" w:eastAsia="zh-CN"/>
        </w:rPr>
        <w:t>If a UE claims to support both modes then the UE shall pass tests for both modes. De-prioritize the discussion if needed since this shall be seen as a corner case.</w:t>
      </w:r>
    </w:p>
    <w:p>
      <w:pPr>
        <w:pStyle w:val="30"/>
        <w:jc w:val="both"/>
      </w:pPr>
      <w:r>
        <w:rPr>
          <w:rFonts w:hint="eastAsia"/>
          <w:lang w:val="en-US" w:eastAsia="zh-CN"/>
        </w:rPr>
        <w:t>3</w:t>
      </w:r>
      <w:r>
        <w:tab/>
      </w:r>
      <w:r>
        <w:t>Conclusion</w:t>
      </w:r>
    </w:p>
    <w:p>
      <w:pPr>
        <w:rPr>
          <w:rFonts w:hint="eastAsia"/>
          <w:b/>
          <w:bCs/>
          <w:sz w:val="22"/>
          <w:szCs w:val="22"/>
          <w:lang w:val="en-US" w:eastAsia="zh-CN"/>
        </w:rPr>
      </w:pPr>
      <w:r>
        <w:rPr>
          <w:rFonts w:hint="eastAsia"/>
          <w:b/>
          <w:bCs w:val="0"/>
          <w:sz w:val="22"/>
          <w:szCs w:val="22"/>
          <w:lang w:val="en-US" w:eastAsia="zh-CN"/>
        </w:rPr>
        <w:t xml:space="preserve">Proposal 1: </w:t>
      </w:r>
      <w:bookmarkStart w:id="4" w:name="_GoBack"/>
      <w:r>
        <w:rPr>
          <w:rFonts w:hint="eastAsia" w:eastAsia="宋体"/>
          <w:b/>
          <w:bCs/>
          <w:sz w:val="22"/>
          <w:szCs w:val="22"/>
          <w:lang w:val="en-US" w:eastAsia="zh-CN"/>
        </w:rPr>
        <w:t>LBT failures exceeding L</w:t>
      </w:r>
      <w:r>
        <w:rPr>
          <w:rFonts w:hint="eastAsia" w:eastAsia="宋体"/>
          <w:b/>
          <w:bCs/>
          <w:sz w:val="22"/>
          <w:szCs w:val="22"/>
          <w:vertAlign w:val="subscript"/>
          <w:lang w:val="en-US" w:eastAsia="zh-CN"/>
        </w:rPr>
        <w:t>max</w:t>
      </w:r>
      <w:r>
        <w:rPr>
          <w:rFonts w:hint="eastAsia" w:eastAsia="宋体"/>
          <w:b/>
          <w:bCs/>
          <w:sz w:val="22"/>
          <w:szCs w:val="22"/>
          <w:lang w:val="en-US" w:eastAsia="zh-CN"/>
        </w:rPr>
        <w:t xml:space="preserve"> shall be tested when there is new UE behavior defined for such scenarios.</w:t>
      </w:r>
    </w:p>
    <w:p>
      <w:pPr>
        <w:rPr>
          <w:rFonts w:hint="eastAsia" w:eastAsia="宋体"/>
          <w:b/>
          <w:bCs/>
          <w:sz w:val="22"/>
          <w:szCs w:val="22"/>
          <w:lang w:val="en-US" w:eastAsia="zh-CN"/>
        </w:rPr>
      </w:pPr>
      <w:r>
        <w:rPr>
          <w:rFonts w:hint="eastAsia"/>
          <w:b/>
          <w:bCs/>
          <w:sz w:val="22"/>
          <w:szCs w:val="22"/>
          <w:lang w:val="en-US" w:eastAsia="zh-CN"/>
        </w:rPr>
        <w:t xml:space="preserve">Proposal 2: </w:t>
      </w:r>
      <w:r>
        <w:rPr>
          <w:rFonts w:hint="eastAsia" w:eastAsia="宋体"/>
          <w:b/>
          <w:bCs/>
          <w:sz w:val="22"/>
          <w:szCs w:val="22"/>
          <w:lang w:val="en-US" w:eastAsia="zh-CN"/>
        </w:rPr>
        <w:t>For the cell-reselection test cases, Mp consecutive DRX cycles with LBT failures of the serving cell should be also tested.</w:t>
      </w:r>
    </w:p>
    <w:p>
      <w:pPr>
        <w:rPr>
          <w:rFonts w:hint="eastAsia" w:eastAsia="宋体"/>
          <w:sz w:val="22"/>
          <w:szCs w:val="22"/>
          <w:lang w:val="en-US" w:eastAsia="zh-CN"/>
        </w:rPr>
      </w:pPr>
      <w:r>
        <w:rPr>
          <w:rFonts w:hint="eastAsia"/>
          <w:b/>
          <w:bCs/>
          <w:sz w:val="22"/>
          <w:szCs w:val="22"/>
          <w:lang w:val="en-US" w:eastAsia="zh-CN"/>
        </w:rPr>
        <w:t xml:space="preserve">Proposal 3: </w:t>
      </w:r>
      <w:r>
        <w:rPr>
          <w:rFonts w:hint="eastAsia" w:eastAsia="宋体"/>
          <w:b/>
          <w:bCs/>
          <w:sz w:val="22"/>
          <w:szCs w:val="22"/>
          <w:lang w:val="en-US" w:eastAsia="zh-CN"/>
        </w:rPr>
        <w:t>If a UE claims to support both modes then the UE shall pass tests for both modes. De-prioritize the discussion if needed since this shall be seen as a corner case.</w:t>
      </w:r>
      <w:bookmarkEnd w:id="4"/>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R4-2017089</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427522"/>
    <w:rsid w:val="099F556C"/>
    <w:rsid w:val="09AC0546"/>
    <w:rsid w:val="09C640C3"/>
    <w:rsid w:val="0A5763D4"/>
    <w:rsid w:val="0A7BF868"/>
    <w:rsid w:val="0A9573F8"/>
    <w:rsid w:val="0B7322DC"/>
    <w:rsid w:val="0BB77882"/>
    <w:rsid w:val="0C2A1653"/>
    <w:rsid w:val="0C3C5307"/>
    <w:rsid w:val="0C56263C"/>
    <w:rsid w:val="0C5E2B8A"/>
    <w:rsid w:val="0D102274"/>
    <w:rsid w:val="0D295CDF"/>
    <w:rsid w:val="0DA958CA"/>
    <w:rsid w:val="0DE14624"/>
    <w:rsid w:val="0DF104D3"/>
    <w:rsid w:val="0E1C586B"/>
    <w:rsid w:val="0E8A024B"/>
    <w:rsid w:val="0ED138E6"/>
    <w:rsid w:val="0F130B06"/>
    <w:rsid w:val="0F67780F"/>
    <w:rsid w:val="0F8F3C2A"/>
    <w:rsid w:val="0FB648CB"/>
    <w:rsid w:val="0FD0731A"/>
    <w:rsid w:val="0FF1533A"/>
    <w:rsid w:val="0FFE0AFA"/>
    <w:rsid w:val="1000683B"/>
    <w:rsid w:val="10732202"/>
    <w:rsid w:val="10860ED5"/>
    <w:rsid w:val="10996B78"/>
    <w:rsid w:val="10AA3C13"/>
    <w:rsid w:val="10CA41CF"/>
    <w:rsid w:val="10CD0B75"/>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BB665F"/>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AE92343"/>
    <w:rsid w:val="1B3329B5"/>
    <w:rsid w:val="1B595D85"/>
    <w:rsid w:val="1B7F155B"/>
    <w:rsid w:val="1BAE2A00"/>
    <w:rsid w:val="1C5E2F54"/>
    <w:rsid w:val="1CA0799D"/>
    <w:rsid w:val="1CDA242C"/>
    <w:rsid w:val="1CFB2AC1"/>
    <w:rsid w:val="1D1F1294"/>
    <w:rsid w:val="1D4472B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7E0BBB"/>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76D87"/>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F47E9"/>
    <w:rsid w:val="33CD00C7"/>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0718A8"/>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DF3A74"/>
    <w:rsid w:val="5AE53367"/>
    <w:rsid w:val="5B0B0083"/>
    <w:rsid w:val="5B1254E6"/>
    <w:rsid w:val="5BC3228B"/>
    <w:rsid w:val="5BFC28DA"/>
    <w:rsid w:val="5C3B1FEA"/>
    <w:rsid w:val="5C6A01BF"/>
    <w:rsid w:val="5CEB6783"/>
    <w:rsid w:val="5D041ECD"/>
    <w:rsid w:val="5D193935"/>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574FF6"/>
    <w:rsid w:val="648D5222"/>
    <w:rsid w:val="64B2258D"/>
    <w:rsid w:val="64E30C9E"/>
    <w:rsid w:val="64E86D2F"/>
    <w:rsid w:val="650A41B7"/>
    <w:rsid w:val="657C25FC"/>
    <w:rsid w:val="65997784"/>
    <w:rsid w:val="65A976E6"/>
    <w:rsid w:val="65C64C37"/>
    <w:rsid w:val="65D01190"/>
    <w:rsid w:val="66197BB5"/>
    <w:rsid w:val="66AB371C"/>
    <w:rsid w:val="66AE1192"/>
    <w:rsid w:val="66CA69C3"/>
    <w:rsid w:val="6709791B"/>
    <w:rsid w:val="6794708A"/>
    <w:rsid w:val="67CE0CE2"/>
    <w:rsid w:val="67DA4215"/>
    <w:rsid w:val="67E42DFA"/>
    <w:rsid w:val="67ED44CB"/>
    <w:rsid w:val="681D58BA"/>
    <w:rsid w:val="68EB3ADC"/>
    <w:rsid w:val="69240005"/>
    <w:rsid w:val="69342228"/>
    <w:rsid w:val="69462386"/>
    <w:rsid w:val="695E51BF"/>
    <w:rsid w:val="69C96ADD"/>
    <w:rsid w:val="69DC5A3B"/>
    <w:rsid w:val="69E50464"/>
    <w:rsid w:val="6A2F06BE"/>
    <w:rsid w:val="6A7016FE"/>
    <w:rsid w:val="6AFC6812"/>
    <w:rsid w:val="6B5E2EC6"/>
    <w:rsid w:val="6B7575DB"/>
    <w:rsid w:val="6C42065A"/>
    <w:rsid w:val="6C6F44FD"/>
    <w:rsid w:val="6C886583"/>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6525A"/>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2021-01-15T13:38:34Z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